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3BED" w14:textId="066CF846" w:rsidR="001F408C" w:rsidRPr="0099492C" w:rsidRDefault="0088116A" w:rsidP="001F408C">
      <w:pPr>
        <w:jc w:val="center"/>
        <w:rPr>
          <w:rFonts w:cstheme="minorHAnsi"/>
          <w:b/>
          <w:color w:val="000000" w:themeColor="text1"/>
        </w:rPr>
      </w:pPr>
      <w:r>
        <w:rPr>
          <w:noProof/>
        </w:rPr>
        <w:drawing>
          <wp:inline distT="0" distB="0" distL="0" distR="0" wp14:anchorId="1D7D47C9" wp14:editId="71BBAE86">
            <wp:extent cx="3375660" cy="1668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5660" cy="1668780"/>
                    </a:xfrm>
                    <a:prstGeom prst="rect">
                      <a:avLst/>
                    </a:prstGeom>
                    <a:noFill/>
                    <a:ln>
                      <a:noFill/>
                    </a:ln>
                  </pic:spPr>
                </pic:pic>
              </a:graphicData>
            </a:graphic>
          </wp:inline>
        </w:drawing>
      </w:r>
      <w:r w:rsidR="001F408C" w:rsidRPr="0099492C">
        <w:rPr>
          <w:rFonts w:cstheme="minorHAnsi"/>
          <w:b/>
          <w:color w:val="000000" w:themeColor="text1"/>
        </w:rPr>
        <w:t xml:space="preserve"> </w:t>
      </w:r>
    </w:p>
    <w:p w14:paraId="05095E15" w14:textId="77777777" w:rsidR="001F408C" w:rsidRPr="0099492C" w:rsidRDefault="001F408C" w:rsidP="001F408C">
      <w:pPr>
        <w:jc w:val="center"/>
        <w:rPr>
          <w:rFonts w:cstheme="minorHAnsi"/>
          <w:b/>
          <w:color w:val="000000" w:themeColor="text1"/>
        </w:rPr>
      </w:pPr>
    </w:p>
    <w:p w14:paraId="4A6AA4BF" w14:textId="77777777" w:rsidR="001F408C" w:rsidRPr="0099492C" w:rsidRDefault="001F408C" w:rsidP="001F408C">
      <w:pPr>
        <w:jc w:val="center"/>
        <w:rPr>
          <w:rFonts w:cstheme="minorHAnsi"/>
          <w:b/>
          <w:color w:val="000000" w:themeColor="text1"/>
        </w:rPr>
      </w:pPr>
    </w:p>
    <w:p w14:paraId="674ED426" w14:textId="77777777" w:rsidR="001F408C" w:rsidRPr="0099492C" w:rsidRDefault="001F408C" w:rsidP="001F408C">
      <w:pPr>
        <w:rPr>
          <w:rFonts w:cstheme="minorHAnsi"/>
          <w:color w:val="000000" w:themeColor="text1"/>
          <w:sz w:val="80"/>
          <w:szCs w:val="80"/>
        </w:rPr>
      </w:pPr>
    </w:p>
    <w:p w14:paraId="30E2E846" w14:textId="72E6EB0D" w:rsidR="001F408C" w:rsidRPr="0099492C" w:rsidRDefault="00AA1DEE" w:rsidP="009553DF">
      <w:pPr>
        <w:jc w:val="center"/>
        <w:rPr>
          <w:rFonts w:cstheme="minorHAnsi"/>
          <w:color w:val="000000" w:themeColor="text1"/>
          <w:sz w:val="80"/>
          <w:szCs w:val="80"/>
        </w:rPr>
      </w:pPr>
      <w:r>
        <w:rPr>
          <w:rFonts w:cstheme="minorHAnsi"/>
          <w:color w:val="000000" w:themeColor="text1"/>
          <w:sz w:val="80"/>
          <w:szCs w:val="80"/>
        </w:rPr>
        <w:t>Accommodation Termination Policy</w:t>
      </w:r>
    </w:p>
    <w:p w14:paraId="723D5FE5" w14:textId="77777777" w:rsidR="0099492C" w:rsidRPr="0099492C" w:rsidRDefault="0099492C">
      <w:pPr>
        <w:rPr>
          <w:rFonts w:cstheme="minorHAnsi"/>
          <w:b/>
          <w:color w:val="000000" w:themeColor="text1"/>
        </w:rPr>
      </w:pPr>
    </w:p>
    <w:p w14:paraId="5F15ECF1" w14:textId="77777777" w:rsidR="0099492C" w:rsidRPr="0099492C" w:rsidRDefault="0099492C">
      <w:pPr>
        <w:rPr>
          <w:rFonts w:cstheme="minorHAnsi"/>
          <w:b/>
          <w:color w:val="000000" w:themeColor="text1"/>
        </w:rPr>
      </w:pPr>
    </w:p>
    <w:p w14:paraId="5AE1313D" w14:textId="3794B5F9" w:rsidR="001F408C" w:rsidRPr="0099492C" w:rsidRDefault="00B02FD0" w:rsidP="00A76789">
      <w:pPr>
        <w:ind w:firstLine="720"/>
        <w:rPr>
          <w:rFonts w:cstheme="minorHAnsi"/>
          <w:b/>
          <w:color w:val="000000" w:themeColor="text1"/>
          <w:sz w:val="28"/>
          <w:szCs w:val="28"/>
        </w:rPr>
      </w:pPr>
      <w:r w:rsidRPr="0099492C">
        <w:rPr>
          <w:rFonts w:cstheme="minorHAnsi"/>
          <w:b/>
          <w:color w:val="000000" w:themeColor="text1"/>
          <w:sz w:val="28"/>
          <w:szCs w:val="28"/>
        </w:rPr>
        <w:t>Document Control</w:t>
      </w:r>
      <w:r w:rsidR="001F408C" w:rsidRPr="0099492C">
        <w:rPr>
          <w:rFonts w:cstheme="minorHAnsi"/>
          <w:b/>
          <w:color w:val="000000" w:themeColor="text1"/>
          <w:sz w:val="28"/>
          <w:szCs w:val="28"/>
        </w:rPr>
        <w:t xml:space="preserve">                      </w:t>
      </w:r>
      <w:r w:rsidR="001F408C" w:rsidRPr="0099492C">
        <w:rPr>
          <w:rFonts w:cstheme="minorHAnsi"/>
          <w:b/>
          <w:color w:val="000000" w:themeColor="text1"/>
          <w:sz w:val="28"/>
          <w:szCs w:val="28"/>
        </w:rPr>
        <w:tab/>
      </w:r>
    </w:p>
    <w:p w14:paraId="10C6FBB9" w14:textId="77777777" w:rsidR="001F408C" w:rsidRPr="0099492C" w:rsidRDefault="001F408C">
      <w:pPr>
        <w:rPr>
          <w:rFonts w:cstheme="minorHAnsi"/>
          <w:b/>
          <w:color w:val="000000" w:themeColor="text1"/>
          <w:sz w:val="28"/>
          <w:szCs w:val="28"/>
        </w:rPr>
      </w:pPr>
    </w:p>
    <w:tbl>
      <w:tblPr>
        <w:tblStyle w:val="TableGrid"/>
        <w:tblW w:w="0" w:type="auto"/>
        <w:tblInd w:w="846" w:type="dxa"/>
        <w:tblLook w:val="04A0" w:firstRow="1" w:lastRow="0" w:firstColumn="1" w:lastColumn="0" w:noHBand="0" w:noVBand="1"/>
      </w:tblPr>
      <w:tblGrid>
        <w:gridCol w:w="3118"/>
        <w:gridCol w:w="5407"/>
      </w:tblGrid>
      <w:tr w:rsidR="001F408C" w:rsidRPr="0099492C" w14:paraId="1A45DFFA" w14:textId="77777777" w:rsidTr="0099492C">
        <w:trPr>
          <w:trHeight w:val="253"/>
        </w:trPr>
        <w:tc>
          <w:tcPr>
            <w:tcW w:w="3118" w:type="dxa"/>
          </w:tcPr>
          <w:p w14:paraId="6E347683" w14:textId="65016F43" w:rsidR="001F408C" w:rsidRPr="00A76789" w:rsidRDefault="001F408C" w:rsidP="000D46F5">
            <w:pPr>
              <w:rPr>
                <w:rFonts w:ascii="Arial" w:hAnsi="Arial" w:cs="Arial"/>
                <w:sz w:val="26"/>
                <w:szCs w:val="26"/>
              </w:rPr>
            </w:pPr>
            <w:r w:rsidRPr="00A76789">
              <w:rPr>
                <w:rFonts w:ascii="Arial" w:hAnsi="Arial" w:cs="Arial"/>
                <w:sz w:val="26"/>
                <w:szCs w:val="26"/>
              </w:rPr>
              <w:t>Responsibility for Policy:</w:t>
            </w:r>
          </w:p>
        </w:tc>
        <w:tc>
          <w:tcPr>
            <w:tcW w:w="5407" w:type="dxa"/>
          </w:tcPr>
          <w:p w14:paraId="6DB38017" w14:textId="0C6E902C" w:rsidR="001F408C" w:rsidRPr="00A76789" w:rsidRDefault="00AA1DEE" w:rsidP="000D46F5">
            <w:pPr>
              <w:rPr>
                <w:rFonts w:ascii="Arial" w:hAnsi="Arial" w:cs="Arial"/>
                <w:sz w:val="26"/>
                <w:szCs w:val="26"/>
              </w:rPr>
            </w:pPr>
            <w:r>
              <w:rPr>
                <w:rFonts w:ascii="Arial" w:hAnsi="Arial" w:cs="Arial"/>
                <w:sz w:val="26"/>
                <w:szCs w:val="26"/>
              </w:rPr>
              <w:t>Accommodation Office</w:t>
            </w:r>
          </w:p>
        </w:tc>
      </w:tr>
      <w:tr w:rsidR="001F408C" w:rsidRPr="0099492C" w14:paraId="5B4067FF" w14:textId="77777777" w:rsidTr="0099492C">
        <w:trPr>
          <w:trHeight w:val="253"/>
        </w:trPr>
        <w:tc>
          <w:tcPr>
            <w:tcW w:w="3118" w:type="dxa"/>
          </w:tcPr>
          <w:p w14:paraId="05AE49C6" w14:textId="77777777" w:rsidR="001F408C" w:rsidRPr="00A76789" w:rsidRDefault="001F408C" w:rsidP="000D46F5">
            <w:pPr>
              <w:rPr>
                <w:rFonts w:ascii="Arial" w:hAnsi="Arial" w:cs="Arial"/>
                <w:sz w:val="26"/>
                <w:szCs w:val="26"/>
              </w:rPr>
            </w:pPr>
            <w:r w:rsidRPr="00A76789">
              <w:rPr>
                <w:rFonts w:ascii="Arial" w:hAnsi="Arial" w:cs="Arial"/>
                <w:sz w:val="26"/>
                <w:szCs w:val="26"/>
              </w:rPr>
              <w:t>Approved by and date:</w:t>
            </w:r>
          </w:p>
        </w:tc>
        <w:tc>
          <w:tcPr>
            <w:tcW w:w="5407" w:type="dxa"/>
          </w:tcPr>
          <w:p w14:paraId="0A50DD24" w14:textId="3E1B1768" w:rsidR="001F408C" w:rsidRPr="00A76789" w:rsidRDefault="00AA1DEE" w:rsidP="000D46F5">
            <w:pPr>
              <w:rPr>
                <w:rFonts w:ascii="Arial" w:hAnsi="Arial" w:cs="Arial"/>
                <w:sz w:val="26"/>
                <w:szCs w:val="26"/>
              </w:rPr>
            </w:pPr>
            <w:r>
              <w:rPr>
                <w:rFonts w:ascii="Arial" w:hAnsi="Arial" w:cs="Arial"/>
                <w:sz w:val="26"/>
                <w:szCs w:val="26"/>
              </w:rPr>
              <w:t xml:space="preserve">A </w:t>
            </w:r>
            <w:proofErr w:type="spellStart"/>
            <w:r>
              <w:rPr>
                <w:rFonts w:ascii="Arial" w:hAnsi="Arial" w:cs="Arial"/>
                <w:sz w:val="26"/>
                <w:szCs w:val="26"/>
              </w:rPr>
              <w:t>Reppion</w:t>
            </w:r>
            <w:proofErr w:type="spellEnd"/>
            <w:r>
              <w:rPr>
                <w:rFonts w:ascii="Arial" w:hAnsi="Arial" w:cs="Arial"/>
                <w:sz w:val="26"/>
                <w:szCs w:val="26"/>
              </w:rPr>
              <w:t xml:space="preserve"> &amp; J </w:t>
            </w:r>
            <w:proofErr w:type="gramStart"/>
            <w:r>
              <w:rPr>
                <w:rFonts w:ascii="Arial" w:hAnsi="Arial" w:cs="Arial"/>
                <w:sz w:val="26"/>
                <w:szCs w:val="26"/>
              </w:rPr>
              <w:t xml:space="preserve">Thomas  </w:t>
            </w:r>
            <w:r w:rsidR="003B0EA1">
              <w:rPr>
                <w:rFonts w:ascii="Arial" w:hAnsi="Arial" w:cs="Arial"/>
                <w:sz w:val="26"/>
                <w:szCs w:val="26"/>
              </w:rPr>
              <w:t>03</w:t>
            </w:r>
            <w:proofErr w:type="gramEnd"/>
            <w:r w:rsidR="003B0EA1">
              <w:rPr>
                <w:rFonts w:ascii="Arial" w:hAnsi="Arial" w:cs="Arial"/>
                <w:sz w:val="26"/>
                <w:szCs w:val="26"/>
              </w:rPr>
              <w:t>/11/23</w:t>
            </w:r>
          </w:p>
        </w:tc>
      </w:tr>
      <w:tr w:rsidR="001F408C" w:rsidRPr="0099492C" w14:paraId="165304D0" w14:textId="77777777" w:rsidTr="0099492C">
        <w:trPr>
          <w:trHeight w:val="253"/>
        </w:trPr>
        <w:tc>
          <w:tcPr>
            <w:tcW w:w="3118" w:type="dxa"/>
          </w:tcPr>
          <w:p w14:paraId="50E28B23" w14:textId="77777777" w:rsidR="001F408C" w:rsidRPr="00A76789" w:rsidRDefault="001F408C" w:rsidP="000D46F5">
            <w:pPr>
              <w:rPr>
                <w:rFonts w:ascii="Arial" w:hAnsi="Arial" w:cs="Arial"/>
                <w:sz w:val="26"/>
                <w:szCs w:val="26"/>
              </w:rPr>
            </w:pPr>
            <w:r w:rsidRPr="00A76789">
              <w:rPr>
                <w:rFonts w:ascii="Arial" w:hAnsi="Arial" w:cs="Arial"/>
                <w:sz w:val="26"/>
                <w:szCs w:val="26"/>
              </w:rPr>
              <w:t>Frequency of Review:</w:t>
            </w:r>
          </w:p>
        </w:tc>
        <w:tc>
          <w:tcPr>
            <w:tcW w:w="5407" w:type="dxa"/>
          </w:tcPr>
          <w:p w14:paraId="1E008DF7" w14:textId="0A82DAF6" w:rsidR="001F408C" w:rsidRPr="00A76789" w:rsidRDefault="00AA1DEE" w:rsidP="000D46F5">
            <w:pPr>
              <w:rPr>
                <w:rFonts w:ascii="Arial" w:hAnsi="Arial" w:cs="Arial"/>
                <w:sz w:val="26"/>
                <w:szCs w:val="26"/>
              </w:rPr>
            </w:pPr>
            <w:r>
              <w:rPr>
                <w:rFonts w:ascii="Arial" w:hAnsi="Arial" w:cs="Arial"/>
                <w:sz w:val="26"/>
                <w:szCs w:val="26"/>
              </w:rPr>
              <w:t>Annually</w:t>
            </w:r>
          </w:p>
        </w:tc>
      </w:tr>
      <w:tr w:rsidR="001F408C" w:rsidRPr="0099492C" w14:paraId="141E7C66" w14:textId="77777777" w:rsidTr="0099492C">
        <w:trPr>
          <w:trHeight w:val="253"/>
        </w:trPr>
        <w:tc>
          <w:tcPr>
            <w:tcW w:w="3118" w:type="dxa"/>
          </w:tcPr>
          <w:p w14:paraId="09EC6F5D" w14:textId="77777777" w:rsidR="001F408C" w:rsidRPr="00A76789" w:rsidRDefault="001F408C" w:rsidP="000D46F5">
            <w:pPr>
              <w:rPr>
                <w:rFonts w:ascii="Arial" w:hAnsi="Arial" w:cs="Arial"/>
                <w:sz w:val="26"/>
                <w:szCs w:val="26"/>
              </w:rPr>
            </w:pPr>
            <w:r w:rsidRPr="00A76789">
              <w:rPr>
                <w:rFonts w:ascii="Arial" w:hAnsi="Arial" w:cs="Arial"/>
                <w:sz w:val="26"/>
                <w:szCs w:val="26"/>
              </w:rPr>
              <w:t>Next Review date:</w:t>
            </w:r>
          </w:p>
        </w:tc>
        <w:tc>
          <w:tcPr>
            <w:tcW w:w="5407" w:type="dxa"/>
          </w:tcPr>
          <w:p w14:paraId="4E79076B" w14:textId="125F6392" w:rsidR="001F408C" w:rsidRPr="00A76789" w:rsidRDefault="003B0EA1" w:rsidP="000D46F5">
            <w:pPr>
              <w:rPr>
                <w:rFonts w:ascii="Arial" w:hAnsi="Arial" w:cs="Arial"/>
                <w:sz w:val="26"/>
                <w:szCs w:val="26"/>
              </w:rPr>
            </w:pPr>
            <w:r>
              <w:rPr>
                <w:rFonts w:ascii="Arial" w:hAnsi="Arial" w:cs="Arial"/>
                <w:sz w:val="26"/>
                <w:szCs w:val="26"/>
              </w:rPr>
              <w:t>31/08//24</w:t>
            </w:r>
          </w:p>
        </w:tc>
      </w:tr>
      <w:tr w:rsidR="001F408C" w:rsidRPr="0099492C" w14:paraId="7BEAF7F8" w14:textId="77777777" w:rsidTr="0099492C">
        <w:trPr>
          <w:trHeight w:val="253"/>
        </w:trPr>
        <w:tc>
          <w:tcPr>
            <w:tcW w:w="3118" w:type="dxa"/>
          </w:tcPr>
          <w:p w14:paraId="70971770" w14:textId="77777777" w:rsidR="001F408C" w:rsidRPr="00A76789" w:rsidRDefault="001F408C" w:rsidP="000D46F5">
            <w:pPr>
              <w:rPr>
                <w:rFonts w:ascii="Arial" w:hAnsi="Arial" w:cs="Arial"/>
                <w:sz w:val="26"/>
                <w:szCs w:val="26"/>
              </w:rPr>
            </w:pPr>
            <w:r w:rsidRPr="00A76789">
              <w:rPr>
                <w:rFonts w:ascii="Arial" w:hAnsi="Arial" w:cs="Arial"/>
                <w:sz w:val="26"/>
                <w:szCs w:val="26"/>
              </w:rPr>
              <w:t>Related Policies:</w:t>
            </w:r>
          </w:p>
        </w:tc>
        <w:tc>
          <w:tcPr>
            <w:tcW w:w="5407" w:type="dxa"/>
          </w:tcPr>
          <w:p w14:paraId="6F6B2157" w14:textId="77777777" w:rsidR="001F408C" w:rsidRPr="00A76789" w:rsidRDefault="001F408C" w:rsidP="000D46F5">
            <w:pPr>
              <w:rPr>
                <w:rFonts w:ascii="Arial" w:hAnsi="Arial" w:cs="Arial"/>
                <w:sz w:val="26"/>
                <w:szCs w:val="26"/>
              </w:rPr>
            </w:pPr>
          </w:p>
        </w:tc>
      </w:tr>
      <w:tr w:rsidR="001F408C" w:rsidRPr="0099492C" w14:paraId="10F65743" w14:textId="77777777" w:rsidTr="0099492C">
        <w:trPr>
          <w:trHeight w:val="241"/>
        </w:trPr>
        <w:tc>
          <w:tcPr>
            <w:tcW w:w="3118" w:type="dxa"/>
          </w:tcPr>
          <w:p w14:paraId="0037DE8F" w14:textId="77777777" w:rsidR="001F408C" w:rsidRPr="00A76789" w:rsidRDefault="001F408C" w:rsidP="000D46F5">
            <w:pPr>
              <w:rPr>
                <w:rFonts w:ascii="Arial" w:hAnsi="Arial" w:cs="Arial"/>
                <w:sz w:val="26"/>
                <w:szCs w:val="26"/>
              </w:rPr>
            </w:pPr>
            <w:r w:rsidRPr="00A76789">
              <w:rPr>
                <w:rFonts w:ascii="Arial" w:hAnsi="Arial" w:cs="Arial"/>
                <w:sz w:val="26"/>
                <w:szCs w:val="26"/>
              </w:rPr>
              <w:t>Minor Revisions:</w:t>
            </w:r>
          </w:p>
        </w:tc>
        <w:tc>
          <w:tcPr>
            <w:tcW w:w="5407" w:type="dxa"/>
          </w:tcPr>
          <w:p w14:paraId="7A61B1FE" w14:textId="77777777" w:rsidR="001F408C" w:rsidRPr="00A76789" w:rsidRDefault="001F408C" w:rsidP="000D46F5">
            <w:pPr>
              <w:rPr>
                <w:rFonts w:ascii="Arial" w:hAnsi="Arial" w:cs="Arial"/>
                <w:sz w:val="26"/>
                <w:szCs w:val="26"/>
              </w:rPr>
            </w:pPr>
          </w:p>
        </w:tc>
      </w:tr>
    </w:tbl>
    <w:p w14:paraId="2E6D6B32" w14:textId="1FD43D8C" w:rsidR="004A12C1" w:rsidRDefault="004A12C1" w:rsidP="0099492C">
      <w:pPr>
        <w:rPr>
          <w:rFonts w:cstheme="minorHAnsi"/>
          <w:b/>
          <w:color w:val="000000" w:themeColor="text1"/>
          <w:sz w:val="24"/>
          <w:szCs w:val="24"/>
        </w:rPr>
      </w:pPr>
    </w:p>
    <w:p w14:paraId="2C49E606" w14:textId="2A0A3691" w:rsidR="00AA1DEE" w:rsidRDefault="00AA1DEE" w:rsidP="0099492C">
      <w:pPr>
        <w:rPr>
          <w:rFonts w:cstheme="minorHAnsi"/>
          <w:b/>
          <w:color w:val="000000" w:themeColor="text1"/>
          <w:sz w:val="24"/>
          <w:szCs w:val="24"/>
        </w:rPr>
      </w:pPr>
    </w:p>
    <w:p w14:paraId="64DC2FF7" w14:textId="6E290805" w:rsidR="00AA1DEE" w:rsidRDefault="00AA1DEE" w:rsidP="0099492C">
      <w:pPr>
        <w:rPr>
          <w:rFonts w:cstheme="minorHAnsi"/>
          <w:b/>
          <w:color w:val="000000" w:themeColor="text1"/>
          <w:sz w:val="24"/>
          <w:szCs w:val="24"/>
        </w:rPr>
      </w:pPr>
    </w:p>
    <w:p w14:paraId="37259A3C" w14:textId="389AB15C" w:rsidR="00AA1DEE" w:rsidRDefault="00AA1DEE" w:rsidP="0099492C">
      <w:pPr>
        <w:rPr>
          <w:rFonts w:cstheme="minorHAnsi"/>
          <w:b/>
          <w:color w:val="000000" w:themeColor="text1"/>
          <w:sz w:val="24"/>
          <w:szCs w:val="24"/>
        </w:rPr>
      </w:pPr>
    </w:p>
    <w:p w14:paraId="2192EDCA" w14:textId="1CB93048" w:rsidR="00AA1DEE" w:rsidRDefault="00AA1DEE" w:rsidP="0099492C">
      <w:pPr>
        <w:rPr>
          <w:rFonts w:cstheme="minorHAnsi"/>
          <w:b/>
          <w:color w:val="000000" w:themeColor="text1"/>
          <w:sz w:val="24"/>
          <w:szCs w:val="24"/>
        </w:rPr>
      </w:pPr>
    </w:p>
    <w:p w14:paraId="077E0217" w14:textId="0822EE39" w:rsidR="00AA1DEE" w:rsidRDefault="00AA1DEE" w:rsidP="0099492C">
      <w:pPr>
        <w:rPr>
          <w:rFonts w:cstheme="minorHAnsi"/>
          <w:b/>
          <w:color w:val="000000" w:themeColor="text1"/>
          <w:sz w:val="24"/>
          <w:szCs w:val="24"/>
        </w:rPr>
      </w:pPr>
    </w:p>
    <w:p w14:paraId="3F19A738" w14:textId="5630F71E" w:rsidR="00AA1DEE" w:rsidRDefault="00AA1DEE" w:rsidP="0099492C">
      <w:pPr>
        <w:rPr>
          <w:rFonts w:cstheme="minorHAnsi"/>
          <w:b/>
          <w:color w:val="000000" w:themeColor="text1"/>
          <w:sz w:val="24"/>
          <w:szCs w:val="24"/>
        </w:rPr>
      </w:pPr>
    </w:p>
    <w:p w14:paraId="2F8529B1" w14:textId="229D4571" w:rsidR="00AA1DEE" w:rsidRDefault="00AA1DEE" w:rsidP="0099492C">
      <w:pPr>
        <w:rPr>
          <w:rFonts w:cstheme="minorHAnsi"/>
          <w:b/>
          <w:color w:val="000000" w:themeColor="text1"/>
          <w:sz w:val="24"/>
          <w:szCs w:val="24"/>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A1DEE" w:rsidRPr="00035BA2" w14:paraId="24C178F6" w14:textId="77777777" w:rsidTr="00AA1DEE">
        <w:trPr>
          <w:trHeight w:val="1382"/>
        </w:trPr>
        <w:tc>
          <w:tcPr>
            <w:tcW w:w="10490" w:type="dxa"/>
            <w:vAlign w:val="center"/>
          </w:tcPr>
          <w:p w14:paraId="564E4CCA" w14:textId="77777777" w:rsidR="00AA1DEE" w:rsidRDefault="00AA1DEE" w:rsidP="00AA1DEE">
            <w:pPr>
              <w:jc w:val="center"/>
              <w:rPr>
                <w:rFonts w:ascii="Trebuchet MS" w:hAnsi="Trebuchet MS"/>
                <w:b/>
                <w:color w:val="61A1FF"/>
                <w:sz w:val="32"/>
              </w:rPr>
            </w:pPr>
            <w:r w:rsidRPr="00035BA2">
              <w:rPr>
                <w:rFonts w:ascii="Trebuchet MS" w:hAnsi="Trebuchet MS"/>
                <w:b/>
                <w:color w:val="61A1FF"/>
                <w:sz w:val="32"/>
              </w:rPr>
              <w:lastRenderedPageBreak/>
              <w:t xml:space="preserve">Liverpool Hope </w:t>
            </w:r>
            <w:r>
              <w:rPr>
                <w:rFonts w:ascii="Trebuchet MS" w:hAnsi="Trebuchet MS"/>
                <w:b/>
                <w:color w:val="61A1FF"/>
                <w:sz w:val="32"/>
              </w:rPr>
              <w:t>University Accommodation Office</w:t>
            </w:r>
          </w:p>
          <w:p w14:paraId="14E4B35B" w14:textId="4737C27E" w:rsidR="00AA1DEE" w:rsidRPr="00035BA2" w:rsidRDefault="00AA1DEE" w:rsidP="00AA1DEE">
            <w:pPr>
              <w:jc w:val="center"/>
              <w:rPr>
                <w:rFonts w:ascii="Trebuchet MS" w:hAnsi="Trebuchet MS"/>
                <w:b/>
                <w:color w:val="61A1FF"/>
                <w:sz w:val="32"/>
              </w:rPr>
            </w:pPr>
            <w:r>
              <w:rPr>
                <w:rFonts w:ascii="Trebuchet MS" w:hAnsi="Trebuchet MS"/>
                <w:b/>
                <w:color w:val="61A1FF"/>
                <w:sz w:val="32"/>
              </w:rPr>
              <w:t>Accommodation Contract Termination Policy</w:t>
            </w:r>
          </w:p>
        </w:tc>
      </w:tr>
      <w:tr w:rsidR="00AA1DEE" w:rsidRPr="00E267E3" w14:paraId="1297866D" w14:textId="77777777" w:rsidTr="00AA1DEE">
        <w:tblPrEx>
          <w:tblBorders>
            <w:top w:val="single" w:sz="4" w:space="0" w:color="61A1FF"/>
            <w:left w:val="single" w:sz="4" w:space="0" w:color="61A1FF"/>
            <w:bottom w:val="single" w:sz="4" w:space="0" w:color="61A1FF"/>
            <w:right w:val="single" w:sz="4" w:space="0" w:color="61A1FF"/>
            <w:insideH w:val="single" w:sz="4" w:space="0" w:color="61A1FF"/>
            <w:insideV w:val="single" w:sz="4" w:space="0" w:color="61A1FF"/>
          </w:tblBorders>
        </w:tblPrEx>
        <w:trPr>
          <w:trHeight w:val="387"/>
        </w:trPr>
        <w:tc>
          <w:tcPr>
            <w:tcW w:w="10490" w:type="dxa"/>
            <w:shd w:val="clear" w:color="auto" w:fill="61A1FF"/>
            <w:vAlign w:val="center"/>
          </w:tcPr>
          <w:p w14:paraId="2D4A331C" w14:textId="77777777" w:rsidR="00AA1DEE" w:rsidRPr="00E267E3" w:rsidRDefault="00AA1DEE" w:rsidP="00AA1DEE">
            <w:pPr>
              <w:pStyle w:val="ListParagraph"/>
              <w:numPr>
                <w:ilvl w:val="0"/>
                <w:numId w:val="30"/>
              </w:numPr>
              <w:rPr>
                <w:rFonts w:ascii="Trebuchet MS" w:hAnsi="Trebuchet MS"/>
                <w:b/>
                <w:color w:val="FFFFFF" w:themeColor="background1"/>
                <w:sz w:val="28"/>
              </w:rPr>
            </w:pPr>
            <w:r w:rsidRPr="00035BA2">
              <w:rPr>
                <w:rFonts w:ascii="Trebuchet MS" w:hAnsi="Trebuchet MS"/>
                <w:b/>
                <w:color w:val="FFFFFF" w:themeColor="background1"/>
                <w:sz w:val="24"/>
              </w:rPr>
              <w:t>Policy Outline</w:t>
            </w:r>
          </w:p>
        </w:tc>
      </w:tr>
      <w:tr w:rsidR="00AA1DEE" w:rsidRPr="00E267E3" w14:paraId="778DB545" w14:textId="77777777" w:rsidTr="00AA1DEE">
        <w:tblPrEx>
          <w:tblBorders>
            <w:top w:val="single" w:sz="4" w:space="0" w:color="61A1FF"/>
            <w:left w:val="single" w:sz="4" w:space="0" w:color="61A1FF"/>
            <w:bottom w:val="single" w:sz="4" w:space="0" w:color="61A1FF"/>
            <w:right w:val="single" w:sz="4" w:space="0" w:color="61A1FF"/>
            <w:insideH w:val="single" w:sz="4" w:space="0" w:color="61A1FF"/>
            <w:insideV w:val="single" w:sz="4" w:space="0" w:color="61A1FF"/>
          </w:tblBorders>
        </w:tblPrEx>
        <w:trPr>
          <w:trHeight w:val="4728"/>
        </w:trPr>
        <w:tc>
          <w:tcPr>
            <w:tcW w:w="10490" w:type="dxa"/>
            <w:vAlign w:val="center"/>
          </w:tcPr>
          <w:p w14:paraId="5A0CC17D" w14:textId="3EEA2B11" w:rsidR="00AA1DEE" w:rsidRPr="00035BA2" w:rsidRDefault="00AA1DEE" w:rsidP="00AA1DEE">
            <w:pPr>
              <w:rPr>
                <w:rFonts w:cs="Segoe UI"/>
              </w:rPr>
            </w:pPr>
            <w:r w:rsidRPr="00035BA2">
              <w:rPr>
                <w:rFonts w:cs="Segoe UI"/>
              </w:rPr>
              <w:t xml:space="preserve">A student may leave and surrender their room in Halls to the University, but the contract will not be terminated or the accommodation charge reduced unless extraordinary circumstances exist. </w:t>
            </w:r>
            <w:r w:rsidR="000121B4">
              <w:rPr>
                <w:rFonts w:cs="Segoe UI"/>
              </w:rPr>
              <w:t>Applications will</w:t>
            </w:r>
            <w:r w:rsidRPr="00035BA2">
              <w:rPr>
                <w:rFonts w:cs="Segoe UI"/>
              </w:rPr>
              <w:t xml:space="preserve"> only be considered in the circumstances set out in Section 2 below.</w:t>
            </w:r>
          </w:p>
          <w:p w14:paraId="3667B399" w14:textId="77777777" w:rsidR="00AA1DEE" w:rsidRPr="00035BA2" w:rsidRDefault="00AA1DEE" w:rsidP="00AA1DEE">
            <w:pPr>
              <w:rPr>
                <w:rFonts w:cs="Segoe UI"/>
              </w:rPr>
            </w:pPr>
          </w:p>
          <w:p w14:paraId="4361D098" w14:textId="77777777" w:rsidR="00AA1DEE" w:rsidRDefault="00AA1DEE" w:rsidP="00AA1DEE">
            <w:pPr>
              <w:rPr>
                <w:rFonts w:cs="Segoe UI"/>
              </w:rPr>
            </w:pPr>
            <w:r w:rsidRPr="00035BA2">
              <w:rPr>
                <w:rFonts w:cs="Segoe UI"/>
              </w:rPr>
              <w:t>Students are reminded that there is competition for residential accommodation at Liverpool Hope University and that the room they take could easily have been offered to another candidate. If an accommodation contract is terminated a financial burden is placed on the University, as the room may be difficult to fill once the student has left. The University will therefore make provisions for any financial losses it may incur. In practice this means:</w:t>
            </w:r>
          </w:p>
          <w:p w14:paraId="1A8C3329" w14:textId="77777777" w:rsidR="00AA1DEE" w:rsidRPr="00035BA2" w:rsidRDefault="00AA1DEE" w:rsidP="00AA1DEE">
            <w:pPr>
              <w:rPr>
                <w:rFonts w:cs="Segoe UI"/>
              </w:rPr>
            </w:pPr>
          </w:p>
          <w:p w14:paraId="0F935A81" w14:textId="77777777" w:rsidR="00AA1DEE" w:rsidRPr="00035BA2" w:rsidRDefault="00AA1DEE" w:rsidP="00AA1DEE">
            <w:pPr>
              <w:pStyle w:val="ListParagraph"/>
              <w:numPr>
                <w:ilvl w:val="0"/>
                <w:numId w:val="31"/>
              </w:numPr>
              <w:rPr>
                <w:rFonts w:cs="Segoe UI"/>
              </w:rPr>
            </w:pPr>
            <w:r w:rsidRPr="00035BA2">
              <w:rPr>
                <w:rFonts w:cs="Segoe UI"/>
              </w:rPr>
              <w:t>that the student may be liable to pay all or part of the accommodation charge, and/or</w:t>
            </w:r>
          </w:p>
          <w:p w14:paraId="2303B998" w14:textId="412D4041" w:rsidR="00AA1DEE" w:rsidRPr="00035BA2" w:rsidRDefault="00AA1DEE" w:rsidP="00AA1DEE">
            <w:pPr>
              <w:pStyle w:val="ListParagraph"/>
              <w:numPr>
                <w:ilvl w:val="0"/>
                <w:numId w:val="31"/>
              </w:numPr>
              <w:rPr>
                <w:rFonts w:cs="Segoe UI"/>
              </w:rPr>
            </w:pPr>
            <w:r w:rsidRPr="00035BA2">
              <w:rPr>
                <w:rFonts w:cs="Segoe UI"/>
              </w:rPr>
              <w:t>that the University will retain some or all of the accommodation charge already paid by that student</w:t>
            </w:r>
            <w:r>
              <w:rPr>
                <w:rFonts w:cs="Segoe UI"/>
              </w:rPr>
              <w:t>.</w:t>
            </w:r>
          </w:p>
          <w:p w14:paraId="60F3AE92" w14:textId="77777777" w:rsidR="00AA1DEE" w:rsidRPr="000F496C" w:rsidRDefault="00AA1DEE" w:rsidP="00AA1DEE">
            <w:pPr>
              <w:rPr>
                <w:rFonts w:cs="Segoe UI"/>
              </w:rPr>
            </w:pPr>
          </w:p>
          <w:p w14:paraId="7F7CF346" w14:textId="144EB35F" w:rsidR="00AA1DEE" w:rsidRPr="00E267E3" w:rsidRDefault="00AA1DEE" w:rsidP="00AA1DEE">
            <w:r w:rsidRPr="00035BA2">
              <w:rPr>
                <w:rFonts w:cs="Segoe UI"/>
              </w:rPr>
              <w:t xml:space="preserve">The decision as to whether to terminate the contract shall be made by </w:t>
            </w:r>
            <w:r>
              <w:rPr>
                <w:rFonts w:cs="Segoe UI"/>
              </w:rPr>
              <w:t>the Accommodation Manager and</w:t>
            </w:r>
            <w:r w:rsidR="000121B4">
              <w:rPr>
                <w:rFonts w:cs="Segoe UI"/>
              </w:rPr>
              <w:t>/or</w:t>
            </w:r>
            <w:r>
              <w:rPr>
                <w:rFonts w:cs="Segoe UI"/>
              </w:rPr>
              <w:t xml:space="preserve"> the Head of Residential Life</w:t>
            </w:r>
            <w:r w:rsidRPr="00035BA2">
              <w:rPr>
                <w:rFonts w:cs="Segoe UI"/>
              </w:rPr>
              <w:t xml:space="preserve"> in accordance with this policy.</w:t>
            </w:r>
          </w:p>
        </w:tc>
      </w:tr>
      <w:tr w:rsidR="00AA1DEE" w:rsidRPr="00E267E3" w14:paraId="6ED07E4C" w14:textId="77777777" w:rsidTr="00AA1DEE">
        <w:tblPrEx>
          <w:tblBorders>
            <w:top w:val="single" w:sz="4" w:space="0" w:color="61A1FF"/>
            <w:left w:val="single" w:sz="4" w:space="0" w:color="61A1FF"/>
            <w:bottom w:val="single" w:sz="4" w:space="0" w:color="61A1FF"/>
            <w:right w:val="single" w:sz="4" w:space="0" w:color="61A1FF"/>
            <w:insideH w:val="single" w:sz="4" w:space="0" w:color="61A1FF"/>
            <w:insideV w:val="single" w:sz="4" w:space="0" w:color="61A1FF"/>
          </w:tblBorders>
        </w:tblPrEx>
        <w:trPr>
          <w:trHeight w:val="387"/>
        </w:trPr>
        <w:tc>
          <w:tcPr>
            <w:tcW w:w="10490" w:type="dxa"/>
            <w:shd w:val="clear" w:color="auto" w:fill="61A1FF"/>
            <w:vAlign w:val="center"/>
          </w:tcPr>
          <w:p w14:paraId="12700730" w14:textId="77777777" w:rsidR="00AA1DEE" w:rsidRPr="00E267E3" w:rsidRDefault="00AA1DEE" w:rsidP="00AA1DEE">
            <w:pPr>
              <w:pStyle w:val="ListParagraph"/>
              <w:numPr>
                <w:ilvl w:val="0"/>
                <w:numId w:val="30"/>
              </w:numPr>
              <w:rPr>
                <w:rFonts w:ascii="Trebuchet MS" w:hAnsi="Trebuchet MS"/>
                <w:b/>
                <w:color w:val="FFFFFF" w:themeColor="background1"/>
                <w:sz w:val="28"/>
              </w:rPr>
            </w:pPr>
            <w:r w:rsidRPr="00035BA2">
              <w:rPr>
                <w:rFonts w:ascii="Trebuchet MS" w:hAnsi="Trebuchet MS"/>
                <w:b/>
                <w:color w:val="FFFFFF" w:themeColor="background1"/>
                <w:sz w:val="24"/>
              </w:rPr>
              <w:t>Criteria for Termination</w:t>
            </w:r>
          </w:p>
        </w:tc>
      </w:tr>
      <w:tr w:rsidR="00AA1DEE" w:rsidRPr="00C6510D" w14:paraId="02551DB1" w14:textId="77777777" w:rsidTr="00AA1DEE">
        <w:tblPrEx>
          <w:tblBorders>
            <w:top w:val="single" w:sz="4" w:space="0" w:color="61A1FF"/>
            <w:left w:val="single" w:sz="4" w:space="0" w:color="61A1FF"/>
            <w:bottom w:val="single" w:sz="4" w:space="0" w:color="61A1FF"/>
            <w:right w:val="single" w:sz="4" w:space="0" w:color="61A1FF"/>
            <w:insideH w:val="single" w:sz="4" w:space="0" w:color="61A1FF"/>
            <w:insideV w:val="single" w:sz="4" w:space="0" w:color="61A1FF"/>
          </w:tblBorders>
        </w:tblPrEx>
        <w:trPr>
          <w:trHeight w:val="5250"/>
        </w:trPr>
        <w:tc>
          <w:tcPr>
            <w:tcW w:w="10490" w:type="dxa"/>
            <w:vAlign w:val="center"/>
          </w:tcPr>
          <w:p w14:paraId="4F8A1CD9" w14:textId="77777777" w:rsidR="00AA1DEE" w:rsidRPr="00035BA2" w:rsidRDefault="00AA1DEE" w:rsidP="00AA1DEE">
            <w:pPr>
              <w:rPr>
                <w:rFonts w:cs="Segoe UI"/>
              </w:rPr>
            </w:pPr>
            <w:r w:rsidRPr="00035BA2">
              <w:rPr>
                <w:rFonts w:cs="Segoe UI"/>
              </w:rPr>
              <w:t>The provisions of this policy allow for a termination of the contract and a resultant reduction in the accommodation charge under the following extraordinary circumstances only:</w:t>
            </w:r>
          </w:p>
          <w:p w14:paraId="008198C3" w14:textId="77777777" w:rsidR="00AA1DEE" w:rsidRPr="00035BA2" w:rsidRDefault="00AA1DEE" w:rsidP="00AA1DEE">
            <w:pPr>
              <w:rPr>
                <w:rFonts w:cs="Segoe UI"/>
              </w:rPr>
            </w:pPr>
          </w:p>
          <w:p w14:paraId="06CE21D9" w14:textId="77777777" w:rsidR="00AA1DEE" w:rsidRDefault="00AA1DEE" w:rsidP="00AA1DEE">
            <w:pPr>
              <w:pStyle w:val="ListParagraph"/>
              <w:numPr>
                <w:ilvl w:val="0"/>
                <w:numId w:val="32"/>
              </w:numPr>
            </w:pPr>
            <w:r w:rsidRPr="00035BA2">
              <w:t>where the student no l</w:t>
            </w:r>
            <w:r>
              <w:t>onger qualifies to live in hall</w:t>
            </w:r>
            <w:r w:rsidRPr="00035BA2">
              <w:t>s, for example, if their course of study is no longer a full-time course earning at least 120 credits in a given year, or where the student’s registration with the University has been terminated</w:t>
            </w:r>
          </w:p>
          <w:p w14:paraId="2CF52D5E" w14:textId="77777777" w:rsidR="00AA1DEE" w:rsidRPr="00035BA2" w:rsidRDefault="00AA1DEE" w:rsidP="00AA1DEE">
            <w:pPr>
              <w:pStyle w:val="ListParagraph"/>
            </w:pPr>
          </w:p>
          <w:p w14:paraId="54DA4295" w14:textId="2CF4D4D5" w:rsidR="00AA1DEE" w:rsidRDefault="00AA1DEE" w:rsidP="00AA1DEE">
            <w:pPr>
              <w:pStyle w:val="ListParagraph"/>
              <w:numPr>
                <w:ilvl w:val="0"/>
                <w:numId w:val="32"/>
              </w:numPr>
            </w:pPr>
            <w:r w:rsidRPr="00035BA2">
              <w:t xml:space="preserve">where the student </w:t>
            </w:r>
            <w:proofErr w:type="spellStart"/>
            <w:r w:rsidR="000121B4">
              <w:t>can not</w:t>
            </w:r>
            <w:proofErr w:type="spellEnd"/>
            <w:r w:rsidR="000121B4">
              <w:t xml:space="preserve"> reside in halls or </w:t>
            </w:r>
            <w:r w:rsidRPr="00035BA2">
              <w:t xml:space="preserve">has to return home permanently due to their own serious illness or disability where daily care is required. This must be supported by medical evidence from a GP or medical consultant confirming the </w:t>
            </w:r>
            <w:r w:rsidR="000121B4">
              <w:t>student can no longer live in the halls of residence</w:t>
            </w:r>
          </w:p>
          <w:p w14:paraId="54391EA3" w14:textId="77777777" w:rsidR="00AA1DEE" w:rsidRPr="00035BA2" w:rsidRDefault="00AA1DEE" w:rsidP="00AA1DEE">
            <w:pPr>
              <w:pStyle w:val="ListParagraph"/>
            </w:pPr>
          </w:p>
          <w:p w14:paraId="2E5946E8" w14:textId="77777777" w:rsidR="00AA1DEE" w:rsidRPr="00035BA2" w:rsidRDefault="00AA1DEE" w:rsidP="00AA1DEE">
            <w:pPr>
              <w:pStyle w:val="ListParagraph"/>
              <w:numPr>
                <w:ilvl w:val="0"/>
                <w:numId w:val="32"/>
              </w:numPr>
            </w:pPr>
            <w:r w:rsidRPr="00035BA2">
              <w:t>where the student has to return home permanently due to the serious illness or disability of a close family member where daily care has to be provided to that person by the student. This must be supported by medical evidence from a GP or medical consultant confirming the need for daily care by the student</w:t>
            </w:r>
          </w:p>
          <w:p w14:paraId="3201F724" w14:textId="77777777" w:rsidR="00AA1DEE" w:rsidRDefault="00AA1DEE" w:rsidP="00AA1DEE">
            <w:pPr>
              <w:pStyle w:val="ListParagraph"/>
            </w:pPr>
          </w:p>
          <w:p w14:paraId="1072F726" w14:textId="77777777" w:rsidR="00AA1DEE" w:rsidRDefault="00AA1DEE" w:rsidP="00AA1DEE">
            <w:pPr>
              <w:pStyle w:val="ListParagraph"/>
              <w:numPr>
                <w:ilvl w:val="0"/>
                <w:numId w:val="32"/>
              </w:numPr>
            </w:pPr>
            <w:r w:rsidRPr="00035BA2">
              <w:t>where the student has to return home permanently due to a serious family crisis, such as the death of a parent or sibling, which must be supported by written evidence</w:t>
            </w:r>
            <w:r>
              <w:t>.</w:t>
            </w:r>
          </w:p>
          <w:p w14:paraId="258022D4" w14:textId="77777777" w:rsidR="00AA1DEE" w:rsidRDefault="00AA1DEE" w:rsidP="00AA1DEE">
            <w:pPr>
              <w:pStyle w:val="ListParagraph"/>
            </w:pPr>
          </w:p>
          <w:p w14:paraId="3FC4F76E" w14:textId="77777777" w:rsidR="00AA1DEE" w:rsidRPr="00C6510D" w:rsidRDefault="00AA1DEE" w:rsidP="00AA1DEE">
            <w:pPr>
              <w:rPr>
                <w:b/>
                <w:color w:val="FF0000"/>
              </w:rPr>
            </w:pPr>
            <w:r w:rsidRPr="000121B4">
              <w:rPr>
                <w:b/>
              </w:rPr>
              <w:t>The above are the ONLY criteria for terminating a contract and applications based on students leaving Halls by choice, financial difficulties, loneliness, homesickness, or any personal circumstance other than those outlined above, will not qualify for termination of the contract.</w:t>
            </w:r>
          </w:p>
        </w:tc>
      </w:tr>
      <w:tr w:rsidR="00AA1DEE" w:rsidRPr="00C6510D" w14:paraId="40BE9C16" w14:textId="77777777" w:rsidTr="00AA1DEE">
        <w:tblPrEx>
          <w:tblBorders>
            <w:top w:val="single" w:sz="4" w:space="0" w:color="61A1FF"/>
            <w:left w:val="single" w:sz="4" w:space="0" w:color="61A1FF"/>
            <w:bottom w:val="single" w:sz="4" w:space="0" w:color="61A1FF"/>
            <w:right w:val="single" w:sz="4" w:space="0" w:color="61A1FF"/>
            <w:insideH w:val="single" w:sz="4" w:space="0" w:color="61A1FF"/>
            <w:insideV w:val="single" w:sz="4" w:space="0" w:color="61A1FF"/>
          </w:tblBorders>
        </w:tblPrEx>
        <w:trPr>
          <w:trHeight w:val="4527"/>
        </w:trPr>
        <w:tc>
          <w:tcPr>
            <w:tcW w:w="10490" w:type="dxa"/>
            <w:vAlign w:val="center"/>
          </w:tcPr>
          <w:p w14:paraId="1660C3E7" w14:textId="77777777" w:rsidR="00AA1DEE" w:rsidRPr="00035BA2" w:rsidRDefault="00AA1DEE" w:rsidP="00AA1DEE">
            <w:r w:rsidRPr="00035BA2">
              <w:rPr>
                <w:u w:val="single"/>
              </w:rPr>
              <w:lastRenderedPageBreak/>
              <w:t>Termination Agreed:</w:t>
            </w:r>
            <w:r w:rsidRPr="00035BA2">
              <w:t xml:space="preserve"> </w:t>
            </w:r>
            <w:r>
              <w:t xml:space="preserve">In all circumstances an </w:t>
            </w:r>
            <w:r w:rsidRPr="001D395E">
              <w:rPr>
                <w:u w:val="single"/>
              </w:rPr>
              <w:t>early termination fee will</w:t>
            </w:r>
            <w:r w:rsidRPr="00035BA2">
              <w:rPr>
                <w:u w:val="single"/>
              </w:rPr>
              <w:t xml:space="preserve"> apply</w:t>
            </w:r>
            <w:r w:rsidRPr="00035BA2">
              <w:t xml:space="preserve">, </w:t>
            </w:r>
            <w:r>
              <w:t xml:space="preserve">this will be 6 weeks rent </w:t>
            </w:r>
            <w:r w:rsidRPr="004A39F6">
              <w:t>calculated from either the date of de-registration from the University (if applicable); or the date the room is vacated and keys surrendered to the University, whichever is later</w:t>
            </w:r>
            <w:r>
              <w:t>.</w:t>
            </w:r>
            <w:r w:rsidRPr="00035BA2">
              <w:t xml:space="preserve"> The </w:t>
            </w:r>
            <w:r>
              <w:t>day you return your keys is</w:t>
            </w:r>
            <w:r w:rsidRPr="00035BA2">
              <w:t xml:space="preserve"> the TERMINATION DATE.</w:t>
            </w:r>
          </w:p>
          <w:p w14:paraId="19483C08" w14:textId="77777777" w:rsidR="00AA1DEE" w:rsidRPr="00035BA2" w:rsidRDefault="00AA1DEE" w:rsidP="00AA1DEE"/>
          <w:p w14:paraId="0333B17D" w14:textId="77777777" w:rsidR="00AA1DEE" w:rsidRPr="00035BA2" w:rsidRDefault="00AA1DEE" w:rsidP="00AA1DEE">
            <w:r w:rsidRPr="00035BA2">
              <w:t>The student will be advised of the final calculation in writing and should contact the Finance Office to either pay any remaining debt or make a payment plan. If the calculation results in a credit on the student’s account, a refund can be requested – refunds will be returned to the account from which the payment was made.</w:t>
            </w:r>
          </w:p>
          <w:p w14:paraId="712CACD3" w14:textId="77777777" w:rsidR="00AA1DEE" w:rsidRPr="00035BA2" w:rsidRDefault="00AA1DEE" w:rsidP="00AA1DEE">
            <w:pPr>
              <w:rPr>
                <w:b/>
                <w:color w:val="FF0000"/>
              </w:rPr>
            </w:pPr>
          </w:p>
          <w:p w14:paraId="59EEFF22" w14:textId="0006C759" w:rsidR="00AA1DEE" w:rsidRPr="00C6510D" w:rsidRDefault="00AA1DEE" w:rsidP="00AA1DEE">
            <w:pPr>
              <w:rPr>
                <w:b/>
                <w:color w:val="FF0000"/>
              </w:rPr>
            </w:pPr>
            <w:r w:rsidRPr="00035BA2">
              <w:rPr>
                <w:u w:val="single"/>
              </w:rPr>
              <w:t>Termination Not Agreed:</w:t>
            </w:r>
            <w:r w:rsidRPr="00035BA2">
              <w:t xml:space="preserve"> If the student does not meet the criteria outlined in Section 2 and the University does not agree to terminate the contract then the student will remain liable for the full charge, even after the student relinquishes the accommodation to the University, unless the premises are licensed by the University (at its discretion) to a </w:t>
            </w:r>
            <w:r w:rsidRPr="00035BA2">
              <w:rPr>
                <w:b/>
              </w:rPr>
              <w:t xml:space="preserve">new </w:t>
            </w:r>
            <w:r w:rsidRPr="00035BA2">
              <w:t>student who is not already residing at Halls, in which case the accommodation charge will be reduced pro rata.</w:t>
            </w:r>
          </w:p>
        </w:tc>
      </w:tr>
      <w:tr w:rsidR="00AA1DEE" w:rsidRPr="00E267E3" w14:paraId="4579EB4A" w14:textId="77777777" w:rsidTr="00AA1DEE">
        <w:tblPrEx>
          <w:tblBorders>
            <w:top w:val="single" w:sz="4" w:space="0" w:color="61A1FF"/>
            <w:left w:val="single" w:sz="4" w:space="0" w:color="61A1FF"/>
            <w:bottom w:val="single" w:sz="4" w:space="0" w:color="61A1FF"/>
            <w:right w:val="single" w:sz="4" w:space="0" w:color="61A1FF"/>
            <w:insideH w:val="single" w:sz="4" w:space="0" w:color="61A1FF"/>
            <w:insideV w:val="single" w:sz="4" w:space="0" w:color="61A1FF"/>
          </w:tblBorders>
        </w:tblPrEx>
        <w:trPr>
          <w:trHeight w:val="387"/>
        </w:trPr>
        <w:tc>
          <w:tcPr>
            <w:tcW w:w="10490" w:type="dxa"/>
            <w:shd w:val="clear" w:color="auto" w:fill="61A1FF"/>
            <w:vAlign w:val="center"/>
          </w:tcPr>
          <w:p w14:paraId="6B76BE93" w14:textId="77777777" w:rsidR="00AA1DEE" w:rsidRPr="00E267E3" w:rsidRDefault="00AA1DEE" w:rsidP="00AA1DEE">
            <w:pPr>
              <w:pStyle w:val="ListParagraph"/>
              <w:numPr>
                <w:ilvl w:val="0"/>
                <w:numId w:val="30"/>
              </w:numPr>
              <w:rPr>
                <w:rFonts w:ascii="Trebuchet MS" w:hAnsi="Trebuchet MS"/>
                <w:b/>
                <w:color w:val="FFFFFF" w:themeColor="background1"/>
                <w:sz w:val="28"/>
              </w:rPr>
            </w:pPr>
            <w:r w:rsidRPr="00035BA2">
              <w:rPr>
                <w:rFonts w:ascii="Trebuchet MS" w:hAnsi="Trebuchet MS"/>
                <w:b/>
                <w:color w:val="FFFFFF" w:themeColor="background1"/>
                <w:sz w:val="24"/>
              </w:rPr>
              <w:t>Procedure for Applying to Terminate a Contract</w:t>
            </w:r>
          </w:p>
        </w:tc>
      </w:tr>
      <w:tr w:rsidR="00AA1DEE" w:rsidRPr="00E267E3" w14:paraId="08AF817F" w14:textId="77777777" w:rsidTr="00AA1DEE">
        <w:tblPrEx>
          <w:tblBorders>
            <w:top w:val="single" w:sz="4" w:space="0" w:color="61A1FF"/>
            <w:left w:val="single" w:sz="4" w:space="0" w:color="61A1FF"/>
            <w:bottom w:val="single" w:sz="4" w:space="0" w:color="61A1FF"/>
            <w:right w:val="single" w:sz="4" w:space="0" w:color="61A1FF"/>
            <w:insideH w:val="single" w:sz="4" w:space="0" w:color="61A1FF"/>
            <w:insideV w:val="single" w:sz="4" w:space="0" w:color="61A1FF"/>
          </w:tblBorders>
        </w:tblPrEx>
        <w:trPr>
          <w:trHeight w:val="3765"/>
        </w:trPr>
        <w:tc>
          <w:tcPr>
            <w:tcW w:w="10490" w:type="dxa"/>
            <w:vAlign w:val="center"/>
          </w:tcPr>
          <w:p w14:paraId="71444049" w14:textId="77777777" w:rsidR="00AA1DEE" w:rsidRPr="00035BA2" w:rsidRDefault="00AA1DEE" w:rsidP="00AA1DEE">
            <w:pPr>
              <w:pStyle w:val="ListParagraph"/>
              <w:numPr>
                <w:ilvl w:val="0"/>
                <w:numId w:val="33"/>
              </w:numPr>
            </w:pPr>
            <w:r>
              <w:rPr>
                <w:rFonts w:cs="Segoe UI"/>
              </w:rPr>
              <w:t>C</w:t>
            </w:r>
            <w:r w:rsidRPr="00035BA2">
              <w:rPr>
                <w:rFonts w:cs="Segoe UI"/>
              </w:rPr>
              <w:t xml:space="preserve">omplete an </w:t>
            </w:r>
            <w:r w:rsidRPr="00035BA2">
              <w:rPr>
                <w:rFonts w:cs="Segoe UI"/>
                <w:i/>
              </w:rPr>
              <w:t xml:space="preserve">Application to Terminate </w:t>
            </w:r>
            <w:r w:rsidRPr="00035BA2">
              <w:rPr>
                <w:rFonts w:cs="Segoe UI"/>
              </w:rPr>
              <w:t>which should be submitted to the Accommodation Manager</w:t>
            </w:r>
          </w:p>
          <w:p w14:paraId="62631885" w14:textId="77777777" w:rsidR="00AA1DEE" w:rsidRPr="00035BA2" w:rsidRDefault="00AA1DEE" w:rsidP="00AA1DEE">
            <w:pPr>
              <w:pStyle w:val="ListParagraph"/>
              <w:numPr>
                <w:ilvl w:val="0"/>
                <w:numId w:val="33"/>
              </w:numPr>
            </w:pPr>
            <w:r w:rsidRPr="00035BA2">
              <w:rPr>
                <w:rFonts w:cs="Segoe UI"/>
              </w:rPr>
              <w:t xml:space="preserve">complete the reason on relevant section of the </w:t>
            </w:r>
            <w:r w:rsidRPr="00035BA2">
              <w:rPr>
                <w:rFonts w:cs="Segoe UI"/>
                <w:i/>
              </w:rPr>
              <w:t xml:space="preserve">Application to Terminate </w:t>
            </w:r>
            <w:r w:rsidRPr="00035BA2">
              <w:rPr>
                <w:rFonts w:cs="Segoe UI"/>
              </w:rPr>
              <w:t>and attach any supporting evidence necessary to prove the claims made in the application</w:t>
            </w:r>
          </w:p>
          <w:p w14:paraId="0EB084A8" w14:textId="77777777" w:rsidR="00AA1DEE" w:rsidRPr="00035BA2" w:rsidRDefault="00AA1DEE" w:rsidP="00AA1DEE">
            <w:pPr>
              <w:pStyle w:val="ListParagraph"/>
              <w:numPr>
                <w:ilvl w:val="0"/>
                <w:numId w:val="33"/>
              </w:numPr>
            </w:pPr>
            <w:r w:rsidRPr="00035BA2">
              <w:rPr>
                <w:rFonts w:cs="Segoe UI"/>
              </w:rPr>
              <w:t>discuss the circumstances relating to the application with a Senior Resident Tutor, who will provide comments/support to the Accommodation Office</w:t>
            </w:r>
          </w:p>
          <w:p w14:paraId="24DDC872" w14:textId="77777777" w:rsidR="00AA1DEE" w:rsidRPr="00035BA2" w:rsidRDefault="00AA1DEE" w:rsidP="00AA1DEE">
            <w:pPr>
              <w:pStyle w:val="ListParagraph"/>
              <w:numPr>
                <w:ilvl w:val="0"/>
                <w:numId w:val="33"/>
              </w:numPr>
            </w:pPr>
            <w:r w:rsidRPr="00035BA2">
              <w:rPr>
                <w:rFonts w:cs="Segoe UI"/>
              </w:rPr>
              <w:t xml:space="preserve">if the student is withdrawing from the University, they should meet with an academic advisor and complete a </w:t>
            </w:r>
            <w:r w:rsidRPr="00035BA2">
              <w:rPr>
                <w:rFonts w:cs="Segoe UI"/>
                <w:i/>
              </w:rPr>
              <w:t xml:space="preserve">Registry Withdrawal </w:t>
            </w:r>
            <w:r w:rsidRPr="00035BA2">
              <w:rPr>
                <w:rFonts w:cs="Segoe UI"/>
              </w:rPr>
              <w:t xml:space="preserve">or </w:t>
            </w:r>
            <w:r w:rsidRPr="00035BA2">
              <w:rPr>
                <w:rFonts w:cs="Segoe UI"/>
                <w:i/>
              </w:rPr>
              <w:t xml:space="preserve">Interruption of Studies </w:t>
            </w:r>
            <w:r w:rsidRPr="00035BA2">
              <w:rPr>
                <w:rFonts w:cs="Segoe UI"/>
              </w:rPr>
              <w:t>form, a copy of which should be given to the Accommodation Office. Such students are strongly advised to discuss the financial implications of leaving with a member of the Finance and/or Student Funds team</w:t>
            </w:r>
          </w:p>
          <w:p w14:paraId="6B5F85B8" w14:textId="77777777" w:rsidR="00AA1DEE" w:rsidRPr="00035BA2" w:rsidRDefault="00AA1DEE" w:rsidP="00AA1DEE">
            <w:pPr>
              <w:pStyle w:val="ListParagraph"/>
              <w:numPr>
                <w:ilvl w:val="0"/>
                <w:numId w:val="33"/>
              </w:numPr>
            </w:pPr>
            <w:r w:rsidRPr="00035BA2">
              <w:rPr>
                <w:rFonts w:cs="Segoe UI"/>
              </w:rPr>
              <w:t>the Accommodation Office will confirm to the student in writing whether or not the contract will be terminated</w:t>
            </w:r>
          </w:p>
          <w:p w14:paraId="4A99C88C" w14:textId="77777777" w:rsidR="00AA1DEE" w:rsidRPr="00E267E3" w:rsidRDefault="00AA1DEE" w:rsidP="00AA1DEE">
            <w:pPr>
              <w:pStyle w:val="ListParagraph"/>
              <w:numPr>
                <w:ilvl w:val="0"/>
                <w:numId w:val="33"/>
              </w:numPr>
            </w:pPr>
            <w:r w:rsidRPr="00035BA2">
              <w:rPr>
                <w:rFonts w:cs="Segoe UI"/>
              </w:rPr>
              <w:t>if the student wishes to leave after hearing the University’s decision, they should relinquish the room to the University by handing in the keys to the Accommodation Office.</w:t>
            </w:r>
          </w:p>
        </w:tc>
      </w:tr>
      <w:tr w:rsidR="00AA1DEE" w:rsidRPr="00E267E3" w14:paraId="50D5156B" w14:textId="77777777" w:rsidTr="00AA1DEE">
        <w:tblPrEx>
          <w:tblBorders>
            <w:top w:val="single" w:sz="4" w:space="0" w:color="61A1FF"/>
            <w:left w:val="single" w:sz="4" w:space="0" w:color="61A1FF"/>
            <w:bottom w:val="single" w:sz="4" w:space="0" w:color="61A1FF"/>
            <w:right w:val="single" w:sz="4" w:space="0" w:color="61A1FF"/>
            <w:insideH w:val="single" w:sz="4" w:space="0" w:color="61A1FF"/>
            <w:insideV w:val="single" w:sz="4" w:space="0" w:color="61A1FF"/>
          </w:tblBorders>
        </w:tblPrEx>
        <w:trPr>
          <w:trHeight w:val="387"/>
        </w:trPr>
        <w:tc>
          <w:tcPr>
            <w:tcW w:w="10490" w:type="dxa"/>
            <w:shd w:val="clear" w:color="auto" w:fill="61A1FF"/>
            <w:vAlign w:val="center"/>
          </w:tcPr>
          <w:p w14:paraId="5007A86C" w14:textId="77777777" w:rsidR="00AA1DEE" w:rsidRPr="00E267E3" w:rsidRDefault="00AA1DEE" w:rsidP="00AA1DEE">
            <w:pPr>
              <w:pStyle w:val="ListParagraph"/>
              <w:numPr>
                <w:ilvl w:val="0"/>
                <w:numId w:val="30"/>
              </w:numPr>
              <w:rPr>
                <w:rFonts w:ascii="Trebuchet MS" w:hAnsi="Trebuchet MS"/>
                <w:b/>
                <w:color w:val="FFFFFF" w:themeColor="background1"/>
                <w:sz w:val="28"/>
              </w:rPr>
            </w:pPr>
            <w:r w:rsidRPr="00035BA2">
              <w:rPr>
                <w:rFonts w:ascii="Trebuchet MS" w:hAnsi="Trebuchet MS"/>
                <w:b/>
                <w:color w:val="FFFFFF" w:themeColor="background1"/>
                <w:sz w:val="24"/>
              </w:rPr>
              <w:t>Appeal</w:t>
            </w:r>
          </w:p>
        </w:tc>
      </w:tr>
      <w:tr w:rsidR="00AA1DEE" w:rsidRPr="00E83C1B" w14:paraId="69CF0D22" w14:textId="77777777" w:rsidTr="00AA1DEE">
        <w:tblPrEx>
          <w:tblBorders>
            <w:top w:val="single" w:sz="4" w:space="0" w:color="61A1FF"/>
            <w:left w:val="single" w:sz="4" w:space="0" w:color="61A1FF"/>
            <w:bottom w:val="single" w:sz="4" w:space="0" w:color="61A1FF"/>
            <w:right w:val="single" w:sz="4" w:space="0" w:color="61A1FF"/>
            <w:insideH w:val="single" w:sz="4" w:space="0" w:color="61A1FF"/>
            <w:insideV w:val="single" w:sz="4" w:space="0" w:color="61A1FF"/>
          </w:tblBorders>
        </w:tblPrEx>
        <w:trPr>
          <w:trHeight w:val="2552"/>
        </w:trPr>
        <w:tc>
          <w:tcPr>
            <w:tcW w:w="10490" w:type="dxa"/>
            <w:vAlign w:val="center"/>
          </w:tcPr>
          <w:p w14:paraId="19A39013" w14:textId="2472EB44" w:rsidR="00AA1DEE" w:rsidRDefault="00AA1DEE" w:rsidP="00AA1DEE">
            <w:r w:rsidRPr="00035BA2">
              <w:t xml:space="preserve">If the student wishes to </w:t>
            </w:r>
            <w:r>
              <w:t>request a review of the decision made under this Policy</w:t>
            </w:r>
            <w:r w:rsidRPr="00035BA2">
              <w:t xml:space="preserve">, </w:t>
            </w:r>
            <w:r>
              <w:t xml:space="preserve">then the student shall be entitled to raise a stage 3 complaint.  In order to request a </w:t>
            </w:r>
            <w:proofErr w:type="gramStart"/>
            <w:r>
              <w:t>review</w:t>
            </w:r>
            <w:proofErr w:type="gramEnd"/>
            <w:r>
              <w:t xml:space="preserve"> you would need to complete a</w:t>
            </w:r>
            <w:r w:rsidRPr="00884FBC">
              <w:t xml:space="preserve"> Stage 3 Compla</w:t>
            </w:r>
            <w:r>
              <w:t xml:space="preserve">int Form (Request for a Review) </w:t>
            </w:r>
            <w:r w:rsidRPr="00884FBC">
              <w:t xml:space="preserve">and send it to caseworker@hope.ac.uk within 10 working days of receipt of the </w:t>
            </w:r>
            <w:r>
              <w:t>decision of the Pro Vice Chancellor or nominee.</w:t>
            </w:r>
          </w:p>
          <w:p w14:paraId="32DAF974" w14:textId="77777777" w:rsidR="00AA1DEE" w:rsidRDefault="00AA1DEE" w:rsidP="00AA1DEE"/>
          <w:p w14:paraId="15A094BC" w14:textId="1F1A4A9F" w:rsidR="00AA1DEE" w:rsidRDefault="00AA1DEE" w:rsidP="00AA1DEE">
            <w:r w:rsidRPr="00EA1303">
              <w:t>The grounds on which you can seek a review are as follows:</w:t>
            </w:r>
          </w:p>
          <w:p w14:paraId="4C76AF9C" w14:textId="77777777" w:rsidR="00AA1DEE" w:rsidRDefault="00AA1DEE" w:rsidP="00AA1DEE"/>
          <w:p w14:paraId="003BE02C" w14:textId="4EAD6C76" w:rsidR="00AA1DEE" w:rsidRDefault="00AA1DEE" w:rsidP="00AA1DEE">
            <w:pPr>
              <w:pStyle w:val="ListParagraph"/>
              <w:numPr>
                <w:ilvl w:val="0"/>
                <w:numId w:val="34"/>
              </w:numPr>
            </w:pPr>
            <w:r w:rsidRPr="00EA1303">
              <w:t>The University made a material error in following its procedure or</w:t>
            </w:r>
          </w:p>
          <w:p w14:paraId="1413AC10" w14:textId="6E26C2E8" w:rsidR="00AA1DEE" w:rsidRDefault="00AA1DEE" w:rsidP="00AA1DEE">
            <w:pPr>
              <w:pStyle w:val="ListParagraph"/>
              <w:numPr>
                <w:ilvl w:val="0"/>
                <w:numId w:val="34"/>
              </w:numPr>
            </w:pPr>
            <w:r w:rsidRPr="00EA1303">
              <w:t>The outcome was unreasonable in light of the evidence available; or</w:t>
            </w:r>
          </w:p>
          <w:p w14:paraId="51BC9E81" w14:textId="60102887" w:rsidR="00AA1DEE" w:rsidRDefault="00AA1DEE" w:rsidP="00AA1DEE">
            <w:pPr>
              <w:pStyle w:val="ListParagraph"/>
              <w:numPr>
                <w:ilvl w:val="0"/>
                <w:numId w:val="34"/>
              </w:numPr>
            </w:pPr>
            <w:r w:rsidRPr="00EA1303">
              <w:t>New material evidence has come to light which you were unable, for valid reasons, to provide earlier in the process.</w:t>
            </w:r>
          </w:p>
          <w:p w14:paraId="4C19A804" w14:textId="77777777" w:rsidR="00AA1DEE" w:rsidRDefault="00AA1DEE" w:rsidP="00AA1DEE"/>
          <w:p w14:paraId="0F4F75C0" w14:textId="77777777" w:rsidR="00AA1DEE" w:rsidRDefault="00AA1DEE" w:rsidP="00AA1DEE">
            <w:r w:rsidRPr="00EA1303">
              <w:t xml:space="preserve">The matter will be referred to </w:t>
            </w:r>
            <w:r>
              <w:t xml:space="preserve">the Vice Chancellor or nominee. </w:t>
            </w:r>
            <w:r w:rsidRPr="00EA1303">
              <w:t>The Vice Chancellor may appoint an appropriate staff member to review the matter, undertake any appropriate further enquires, and make recommendations. You will receive a response from the Vice Chancellor within 3 calendar weeks of receipt by the University of your notice to request a review.</w:t>
            </w:r>
          </w:p>
          <w:p w14:paraId="7665077C" w14:textId="77777777" w:rsidR="00AA1DEE" w:rsidRPr="00035BA2" w:rsidRDefault="00AA1DEE" w:rsidP="00AA1DEE"/>
          <w:p w14:paraId="1CDD1DDB" w14:textId="77777777" w:rsidR="00AA1DEE" w:rsidRPr="00E83C1B" w:rsidRDefault="00AA1DEE" w:rsidP="00AA1DEE">
            <w:r w:rsidRPr="00035BA2">
              <w:t xml:space="preserve">If </w:t>
            </w:r>
            <w:r>
              <w:t>you are</w:t>
            </w:r>
            <w:r w:rsidRPr="00035BA2">
              <w:t xml:space="preserve"> still dissatisfied after the Vice-Chancellor’s decision, the student would have re</w:t>
            </w:r>
            <w:r>
              <w:t>course</w:t>
            </w:r>
            <w:r w:rsidRPr="00035BA2">
              <w:t xml:space="preserve"> to the Office of the Independent Adjudicator. Details of this scheme will be given when the internal procedures are exhausted.</w:t>
            </w:r>
          </w:p>
        </w:tc>
      </w:tr>
    </w:tbl>
    <w:p w14:paraId="1B20F61E" w14:textId="77777777" w:rsidR="00AA1DEE" w:rsidRPr="0099492C" w:rsidRDefault="00AA1DEE" w:rsidP="00AA1DEE">
      <w:pPr>
        <w:rPr>
          <w:rFonts w:cstheme="minorHAnsi"/>
          <w:b/>
          <w:color w:val="000000" w:themeColor="text1"/>
          <w:sz w:val="24"/>
          <w:szCs w:val="24"/>
        </w:rPr>
      </w:pPr>
    </w:p>
    <w:sectPr w:rsidR="00AA1DEE" w:rsidRPr="0099492C" w:rsidSect="00E6614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FF30" w14:textId="77777777" w:rsidR="00371F7D" w:rsidRDefault="00371F7D" w:rsidP="00E6614E">
      <w:pPr>
        <w:spacing w:after="0" w:line="240" w:lineRule="auto"/>
      </w:pPr>
      <w:r>
        <w:separator/>
      </w:r>
    </w:p>
  </w:endnote>
  <w:endnote w:type="continuationSeparator" w:id="0">
    <w:p w14:paraId="39BCB6F6" w14:textId="77777777" w:rsidR="00371F7D" w:rsidRDefault="00371F7D" w:rsidP="00E6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617422"/>
      <w:docPartObj>
        <w:docPartGallery w:val="Page Numbers (Bottom of Page)"/>
        <w:docPartUnique/>
      </w:docPartObj>
    </w:sdtPr>
    <w:sdtEndPr>
      <w:rPr>
        <w:noProof/>
      </w:rPr>
    </w:sdtEndPr>
    <w:sdtContent>
      <w:p w14:paraId="4C19CA91" w14:textId="77777777" w:rsidR="00E6614E" w:rsidRDefault="00E661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CF000" w14:textId="77777777" w:rsidR="00E6614E" w:rsidRDefault="00E66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A925" w14:textId="77777777" w:rsidR="00371F7D" w:rsidRDefault="00371F7D" w:rsidP="00E6614E">
      <w:pPr>
        <w:spacing w:after="0" w:line="240" w:lineRule="auto"/>
      </w:pPr>
      <w:r>
        <w:separator/>
      </w:r>
    </w:p>
  </w:footnote>
  <w:footnote w:type="continuationSeparator" w:id="0">
    <w:p w14:paraId="29FDC7EB" w14:textId="77777777" w:rsidR="00371F7D" w:rsidRDefault="00371F7D" w:rsidP="00E66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8AC"/>
    <w:multiLevelType w:val="hybridMultilevel"/>
    <w:tmpl w:val="C3286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7D57"/>
    <w:multiLevelType w:val="multilevel"/>
    <w:tmpl w:val="88B88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076B5"/>
    <w:multiLevelType w:val="multilevel"/>
    <w:tmpl w:val="A60ED74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02C97"/>
    <w:multiLevelType w:val="multilevel"/>
    <w:tmpl w:val="A65CB2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9473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91F4D"/>
    <w:multiLevelType w:val="multilevel"/>
    <w:tmpl w:val="EAF682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B380E"/>
    <w:multiLevelType w:val="multilevel"/>
    <w:tmpl w:val="88B881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84B39"/>
    <w:multiLevelType w:val="multilevel"/>
    <w:tmpl w:val="88B881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9362E7"/>
    <w:multiLevelType w:val="multilevel"/>
    <w:tmpl w:val="2BCCA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5444E"/>
    <w:multiLevelType w:val="multilevel"/>
    <w:tmpl w:val="67663D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3570C"/>
    <w:multiLevelType w:val="hybridMultilevel"/>
    <w:tmpl w:val="695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7752C"/>
    <w:multiLevelType w:val="multilevel"/>
    <w:tmpl w:val="E81E6D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703C0"/>
    <w:multiLevelType w:val="multilevel"/>
    <w:tmpl w:val="07DAB9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20A60"/>
    <w:multiLevelType w:val="multilevel"/>
    <w:tmpl w:val="88B881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C33844"/>
    <w:multiLevelType w:val="hybridMultilevel"/>
    <w:tmpl w:val="DC263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4B04AF"/>
    <w:multiLevelType w:val="multilevel"/>
    <w:tmpl w:val="88B881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372A2C"/>
    <w:multiLevelType w:val="hybridMultilevel"/>
    <w:tmpl w:val="1846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96046"/>
    <w:multiLevelType w:val="multilevel"/>
    <w:tmpl w:val="485EC1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7D2E0B"/>
    <w:multiLevelType w:val="multilevel"/>
    <w:tmpl w:val="EBC4565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2C4133"/>
    <w:multiLevelType w:val="multilevel"/>
    <w:tmpl w:val="88B88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1321F6"/>
    <w:multiLevelType w:val="hybridMultilevel"/>
    <w:tmpl w:val="96D26BE8"/>
    <w:lvl w:ilvl="0" w:tplc="1ADE41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5D77FDD"/>
    <w:multiLevelType w:val="hybridMultilevel"/>
    <w:tmpl w:val="3FDE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91DC4"/>
    <w:multiLevelType w:val="multilevel"/>
    <w:tmpl w:val="88B88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5E3DD5"/>
    <w:multiLevelType w:val="hybridMultilevel"/>
    <w:tmpl w:val="9D623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37BEC"/>
    <w:multiLevelType w:val="multilevel"/>
    <w:tmpl w:val="C0867E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0D3F1E"/>
    <w:multiLevelType w:val="multilevel"/>
    <w:tmpl w:val="6942831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2D2907"/>
    <w:multiLevelType w:val="hybridMultilevel"/>
    <w:tmpl w:val="3344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502AC"/>
    <w:multiLevelType w:val="hybridMultilevel"/>
    <w:tmpl w:val="B5DEB758"/>
    <w:lvl w:ilvl="0" w:tplc="3C5CE38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48100C"/>
    <w:multiLevelType w:val="multilevel"/>
    <w:tmpl w:val="88B88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A47084"/>
    <w:multiLevelType w:val="multilevel"/>
    <w:tmpl w:val="B13E349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F82DAB"/>
    <w:multiLevelType w:val="multilevel"/>
    <w:tmpl w:val="88B88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4A34FC"/>
    <w:multiLevelType w:val="multilevel"/>
    <w:tmpl w:val="CE7866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210D96"/>
    <w:multiLevelType w:val="hybridMultilevel"/>
    <w:tmpl w:val="C5A6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DC6EE1"/>
    <w:multiLevelType w:val="multilevel"/>
    <w:tmpl w:val="142E85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29"/>
  </w:num>
  <w:num w:numId="4">
    <w:abstractNumId w:val="2"/>
  </w:num>
  <w:num w:numId="5">
    <w:abstractNumId w:val="3"/>
  </w:num>
  <w:num w:numId="6">
    <w:abstractNumId w:val="25"/>
  </w:num>
  <w:num w:numId="7">
    <w:abstractNumId w:val="12"/>
  </w:num>
  <w:num w:numId="8">
    <w:abstractNumId w:val="24"/>
  </w:num>
  <w:num w:numId="9">
    <w:abstractNumId w:val="17"/>
  </w:num>
  <w:num w:numId="10">
    <w:abstractNumId w:val="31"/>
  </w:num>
  <w:num w:numId="11">
    <w:abstractNumId w:val="33"/>
  </w:num>
  <w:num w:numId="12">
    <w:abstractNumId w:val="11"/>
  </w:num>
  <w:num w:numId="13">
    <w:abstractNumId w:val="5"/>
  </w:num>
  <w:num w:numId="14">
    <w:abstractNumId w:val="21"/>
  </w:num>
  <w:num w:numId="15">
    <w:abstractNumId w:val="26"/>
  </w:num>
  <w:num w:numId="16">
    <w:abstractNumId w:val="0"/>
  </w:num>
  <w:num w:numId="17">
    <w:abstractNumId w:val="14"/>
  </w:num>
  <w:num w:numId="18">
    <w:abstractNumId w:val="4"/>
  </w:num>
  <w:num w:numId="19">
    <w:abstractNumId w:val="18"/>
  </w:num>
  <w:num w:numId="20">
    <w:abstractNumId w:val="30"/>
  </w:num>
  <w:num w:numId="21">
    <w:abstractNumId w:val="32"/>
  </w:num>
  <w:num w:numId="22">
    <w:abstractNumId w:val="19"/>
  </w:num>
  <w:num w:numId="23">
    <w:abstractNumId w:val="15"/>
  </w:num>
  <w:num w:numId="24">
    <w:abstractNumId w:val="1"/>
  </w:num>
  <w:num w:numId="25">
    <w:abstractNumId w:val="7"/>
  </w:num>
  <w:num w:numId="26">
    <w:abstractNumId w:val="22"/>
  </w:num>
  <w:num w:numId="27">
    <w:abstractNumId w:val="6"/>
  </w:num>
  <w:num w:numId="28">
    <w:abstractNumId w:val="28"/>
  </w:num>
  <w:num w:numId="29">
    <w:abstractNumId w:val="13"/>
  </w:num>
  <w:num w:numId="30">
    <w:abstractNumId w:val="27"/>
  </w:num>
  <w:num w:numId="31">
    <w:abstractNumId w:val="20"/>
  </w:num>
  <w:num w:numId="32">
    <w:abstractNumId w:val="10"/>
  </w:num>
  <w:num w:numId="33">
    <w:abstractNumId w:val="1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2E"/>
    <w:rsid w:val="000121B4"/>
    <w:rsid w:val="00042E75"/>
    <w:rsid w:val="00140B2A"/>
    <w:rsid w:val="001F408C"/>
    <w:rsid w:val="0022193B"/>
    <w:rsid w:val="0027139A"/>
    <w:rsid w:val="00346EA7"/>
    <w:rsid w:val="00371F7D"/>
    <w:rsid w:val="003B0EA1"/>
    <w:rsid w:val="00416B75"/>
    <w:rsid w:val="00435661"/>
    <w:rsid w:val="004A12C1"/>
    <w:rsid w:val="004C0D23"/>
    <w:rsid w:val="004D0E2E"/>
    <w:rsid w:val="005E1783"/>
    <w:rsid w:val="006B1F95"/>
    <w:rsid w:val="006D2675"/>
    <w:rsid w:val="008334FF"/>
    <w:rsid w:val="0088116A"/>
    <w:rsid w:val="009553DF"/>
    <w:rsid w:val="009759E0"/>
    <w:rsid w:val="0099492C"/>
    <w:rsid w:val="009F350E"/>
    <w:rsid w:val="00A57949"/>
    <w:rsid w:val="00A76789"/>
    <w:rsid w:val="00AA1DEE"/>
    <w:rsid w:val="00AE7359"/>
    <w:rsid w:val="00B02FD0"/>
    <w:rsid w:val="00CA5700"/>
    <w:rsid w:val="00CC67CA"/>
    <w:rsid w:val="00CE1DFA"/>
    <w:rsid w:val="00D10B42"/>
    <w:rsid w:val="00D63479"/>
    <w:rsid w:val="00D962E7"/>
    <w:rsid w:val="00E264D9"/>
    <w:rsid w:val="00E27A58"/>
    <w:rsid w:val="00E6614E"/>
    <w:rsid w:val="00E815BC"/>
    <w:rsid w:val="00EE28F2"/>
    <w:rsid w:val="00EF440C"/>
    <w:rsid w:val="00F227EA"/>
    <w:rsid w:val="00FE1D58"/>
    <w:rsid w:val="00FE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5F7B5C"/>
  <w15:chartTrackingRefBased/>
  <w15:docId w15:val="{09FAEBCC-0132-42F6-B8BB-93FC21B4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14E"/>
  </w:style>
  <w:style w:type="paragraph" w:styleId="Footer">
    <w:name w:val="footer"/>
    <w:basedOn w:val="Normal"/>
    <w:link w:val="FooterChar"/>
    <w:uiPriority w:val="99"/>
    <w:unhideWhenUsed/>
    <w:rsid w:val="00E66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14E"/>
  </w:style>
  <w:style w:type="paragraph" w:styleId="BalloonText">
    <w:name w:val="Balloon Text"/>
    <w:basedOn w:val="Normal"/>
    <w:link w:val="BalloonTextChar"/>
    <w:uiPriority w:val="99"/>
    <w:semiHidden/>
    <w:unhideWhenUsed/>
    <w:rsid w:val="00CE1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DFA"/>
    <w:rPr>
      <w:rFonts w:ascii="Segoe UI" w:hAnsi="Segoe UI" w:cs="Segoe UI"/>
      <w:sz w:val="18"/>
      <w:szCs w:val="18"/>
    </w:rPr>
  </w:style>
  <w:style w:type="paragraph" w:styleId="ListParagraph">
    <w:name w:val="List Paragraph"/>
    <w:basedOn w:val="Normal"/>
    <w:uiPriority w:val="34"/>
    <w:qFormat/>
    <w:rsid w:val="00FE7DBF"/>
    <w:pPr>
      <w:ind w:left="720"/>
      <w:contextualSpacing/>
    </w:pPr>
  </w:style>
  <w:style w:type="character" w:styleId="CommentReference">
    <w:name w:val="annotation reference"/>
    <w:basedOn w:val="DefaultParagraphFont"/>
    <w:uiPriority w:val="99"/>
    <w:semiHidden/>
    <w:unhideWhenUsed/>
    <w:rsid w:val="006D2675"/>
    <w:rPr>
      <w:sz w:val="16"/>
      <w:szCs w:val="16"/>
    </w:rPr>
  </w:style>
  <w:style w:type="paragraph" w:styleId="CommentText">
    <w:name w:val="annotation text"/>
    <w:basedOn w:val="Normal"/>
    <w:link w:val="CommentTextChar"/>
    <w:uiPriority w:val="99"/>
    <w:semiHidden/>
    <w:unhideWhenUsed/>
    <w:rsid w:val="006D2675"/>
    <w:pPr>
      <w:spacing w:line="240" w:lineRule="auto"/>
    </w:pPr>
    <w:rPr>
      <w:sz w:val="20"/>
      <w:szCs w:val="20"/>
    </w:rPr>
  </w:style>
  <w:style w:type="character" w:customStyle="1" w:styleId="CommentTextChar">
    <w:name w:val="Comment Text Char"/>
    <w:basedOn w:val="DefaultParagraphFont"/>
    <w:link w:val="CommentText"/>
    <w:uiPriority w:val="99"/>
    <w:semiHidden/>
    <w:rsid w:val="006D2675"/>
    <w:rPr>
      <w:sz w:val="20"/>
      <w:szCs w:val="20"/>
    </w:rPr>
  </w:style>
  <w:style w:type="paragraph" w:styleId="CommentSubject">
    <w:name w:val="annotation subject"/>
    <w:basedOn w:val="CommentText"/>
    <w:next w:val="CommentText"/>
    <w:link w:val="CommentSubjectChar"/>
    <w:uiPriority w:val="99"/>
    <w:semiHidden/>
    <w:unhideWhenUsed/>
    <w:rsid w:val="006D2675"/>
    <w:rPr>
      <w:b/>
      <w:bCs/>
    </w:rPr>
  </w:style>
  <w:style w:type="character" w:customStyle="1" w:styleId="CommentSubjectChar">
    <w:name w:val="Comment Subject Char"/>
    <w:basedOn w:val="CommentTextChar"/>
    <w:link w:val="CommentSubject"/>
    <w:uiPriority w:val="99"/>
    <w:semiHidden/>
    <w:rsid w:val="006D2675"/>
    <w:rPr>
      <w:b/>
      <w:bCs/>
      <w:sz w:val="20"/>
      <w:szCs w:val="20"/>
    </w:rPr>
  </w:style>
  <w:style w:type="character" w:styleId="Hyperlink">
    <w:name w:val="Hyperlink"/>
    <w:basedOn w:val="DefaultParagraphFont"/>
    <w:uiPriority w:val="99"/>
    <w:unhideWhenUsed/>
    <w:rsid w:val="00346EA7"/>
    <w:rPr>
      <w:color w:val="0563C1" w:themeColor="hyperlink"/>
      <w:u w:val="single"/>
    </w:rPr>
  </w:style>
  <w:style w:type="character" w:styleId="UnresolvedMention">
    <w:name w:val="Unresolved Mention"/>
    <w:basedOn w:val="DefaultParagraphFont"/>
    <w:uiPriority w:val="99"/>
    <w:semiHidden/>
    <w:unhideWhenUsed/>
    <w:rsid w:val="00346EA7"/>
    <w:rPr>
      <w:color w:val="605E5C"/>
      <w:shd w:val="clear" w:color="auto" w:fill="E1DFDD"/>
    </w:rPr>
  </w:style>
  <w:style w:type="table" w:styleId="TableGrid">
    <w:name w:val="Table Grid"/>
    <w:basedOn w:val="TableNormal"/>
    <w:uiPriority w:val="59"/>
    <w:rsid w:val="001F408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2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51392">
      <w:bodyDiv w:val="1"/>
      <w:marLeft w:val="0"/>
      <w:marRight w:val="0"/>
      <w:marTop w:val="0"/>
      <w:marBottom w:val="0"/>
      <w:divBdr>
        <w:top w:val="none" w:sz="0" w:space="0" w:color="auto"/>
        <w:left w:val="none" w:sz="0" w:space="0" w:color="auto"/>
        <w:bottom w:val="none" w:sz="0" w:space="0" w:color="auto"/>
        <w:right w:val="none" w:sz="0" w:space="0" w:color="auto"/>
      </w:divBdr>
    </w:div>
    <w:div w:id="106976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booteu</dc:creator>
  <cp:keywords/>
  <dc:description/>
  <cp:lastModifiedBy>Janet Thomas</cp:lastModifiedBy>
  <cp:revision>2</cp:revision>
  <cp:lastPrinted>2020-03-03T10:04:00Z</cp:lastPrinted>
  <dcterms:created xsi:type="dcterms:W3CDTF">2023-11-03T09:50:00Z</dcterms:created>
  <dcterms:modified xsi:type="dcterms:W3CDTF">2023-11-03T09:50:00Z</dcterms:modified>
</cp:coreProperties>
</file>